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刀刃向内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自我革命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全面提升税务执法效能和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税收治理能力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CESI楷体-GB18030" w:hAnsi="CESI楷体-GB18030" w:eastAsia="CESI楷体-GB18030" w:cs="CESI楷体-GB1803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CESI楷体-GB18030" w:hAnsi="CESI楷体-GB18030" w:eastAsia="CESI楷体-GB18030" w:cs="CESI楷体-GB18030"/>
          <w:sz w:val="30"/>
          <w:szCs w:val="30"/>
        </w:rPr>
      </w:pPr>
      <w:r>
        <w:rPr>
          <w:rFonts w:hint="eastAsia" w:ascii="CESI楷体-GB18030" w:hAnsi="CESI楷体-GB18030" w:eastAsia="CESI楷体-GB18030" w:cs="CESI楷体-GB18030"/>
          <w:sz w:val="30"/>
          <w:szCs w:val="30"/>
          <w:lang w:eastAsia="zh-CN"/>
        </w:rPr>
        <w:t>武汉市</w:t>
      </w:r>
      <w:r>
        <w:rPr>
          <w:rFonts w:hint="eastAsia" w:ascii="CESI楷体-GB18030" w:hAnsi="CESI楷体-GB18030" w:eastAsia="CESI楷体-GB18030" w:cs="CESI楷体-GB18030"/>
          <w:sz w:val="30"/>
          <w:szCs w:val="30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CESI楷体-GB18030" w:hAnsi="CESI楷体-GB18030" w:eastAsia="CESI楷体-GB18030" w:cs="CESI楷体-GB1803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持续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推进行政执法公示制度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执法全过程记录制度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重大执法决定法制审核制度（以下简称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三项制度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是全面建设社会主义现代化强国、高质量推进以“六大体系”“六大能力”为主要内容的新时代税收现代化建设的有力抓手。近年来，武汉市税务局在武汉市司法局的指导下，以实现税收治理体系与治理能力现代化为目标，将“三项制度”作为推动形成权责统一、权威高效的行政执法体系和职责明确、依法行政的税收治理体系的重要内容，始终坚持用科技助力、数据赋能，健全制度体系、重塑岗位职责、强化系统集成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探索出一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条税务执法质量控制的有益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路径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营造公平公正执法环境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，不断优化税收营商环境，实现税收与经济的同频共振上持续发力、久久为功。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一、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干在“实”处，建制度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体系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，讲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规范重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坚持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顶层设计与基层实际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相匹配，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税务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执法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法治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政府要求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结合，运用系统思维、创新思维、法治思维，加强制度融合、资源整合、信息聚合，做到制度化、规范化、信息化一体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推进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立足实际建体系，解决“干什么”的问题。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制订了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“方案管总、制度管专、规范管用”“1+3+N”的制度体系。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“1”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1个总体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实施方案，明确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任务书、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时间表、路线图，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确立工作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总遵循；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“3”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实施办法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（对应“三项制度”）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，阐述每项制度“是什么、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什么”，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明晰工作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主依据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“N”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若干个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工作指引、模板范本等，细化工作标准，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设置工作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硬标尺。方案办法、工作指引和模板范本构成有机统一的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“三项制度”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实施体系。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立足实操造流程，解决“怎么干”的问题。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执法公示把权力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“晒出来”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，确定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3个公示环节16类41项公示信息，以“谁产生、谁采集、谁负责”为原则，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构建官方网站、公示平台、政务新媒体、办税服务场所四位一体的公示链条，努力做到依法及时主动向社会公开税务执法信息。全过程记录让权力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“看得见”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，统一文书格式，规范执法用语，建设执法音像记录平台和数字化约谈（询问）室，实现音像记录和文字记录“一户式”“一人式”存储归档，努力做到行政执法活动合法规范。重大执法决定法制审核使权力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“管得住”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，明确49项审核内容，健全书面审和集体审两种方式，努力做到重大执法决定合法有效。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立足实用重创新，解决“干得好”的问题。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通过创新建立信息公示平台，全面推进执法信息网上录入、执法程序网上流转、执法活动网上监督、执法结果网上查询。运用音像记录平台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 xml:space="preserve">基于电子认证、电子签章的税务执法全过程数据化记录机制，形成业务流程清晰、数据链条完整、数据安全有保障的数字化归档管理机制。将法制审核嵌入征管信息系统，实现税务执法过程控制和执法智能控制。将税务执法风险防控措施嵌入信息系统，积极构建全面覆盖、全程防控、全员有责的税务执法风险信息化内控监督体系。健全重大执法决定法制审核委员会，统筹公职律师调配，不断强化审核精锐力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二、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抓在“要”处，强推进机制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，见真章求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高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紧盯“三项制度”全面落实的关键切口，着力强化领导班子带头统筹抓、学用结合提能科学抓、能级质效考核精准抓，不断完善各项工作高效推进的长效机制。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一是完善统筹机制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领导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示范有力。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建立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市局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统筹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、两级联动、部门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协同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内外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互通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的推进机制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分解4类36项任务清单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，明确具体内容、目标要求和完成时限，做到内容到事、任务到岗、责任到人，确保每项工作落实能见人见事见责任。市区两级税务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领导班子成员以身示范、以上率下，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深入一线抓重点、抓细节、抓成效，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充分发挥“头雁效应”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，进一步激发了工作推进强大的向心力和凝聚力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二是完善培训机制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，补强短板有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法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在“跟谁学”上赶先进。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积极学习外省成熟先进的做法，做到“走出去”和“请进来”相结合。相继邀请中南财经大学教授、上级税务机关税务法规专家，专题讲授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zh-CN" w:eastAsia="zh-CN"/>
        </w:rPr>
        <w:t>全面推行“三项制度”的理论知识；先后组织专班团队，到广州市和南京市税务局“三项制度”试行先进单位调研学习，并着重开展“法制审核”专题交流学习。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在“学什么”上有重点。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聚焦软件优化、硬件完善、法制审核、音像记录4个方面，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深入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开展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讲授式、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案例式教学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，并重点开展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zh-CN"/>
        </w:rPr>
        <w:t>新进人员及时掌握行政处罚全过程音像记录规范操作的教学培训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在“怎么学”上讲方法。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积极开展分级分类培训，与岗位大练兵、业务大比武等活动有机结合，不断强化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视频会议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集中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教学片专项学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、网络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专栏平时学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zh-CN"/>
        </w:rPr>
        <w:t>将教学视频上传至市局内网“三项制度”专栏“学习园地”栏目做好持续学习。截至目前，共计学习培训2.3万余人次。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三是完善考核机制，创先争优有效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逐步构建操作信息化、文书数据化、过程痕迹化、责任明晰化、监督严密化、分析可量化的税务执法信息化评估体系。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制发《武汉市税务系统“三项制度”执行情况评估办法（试行）》及其指标库，根据“三项制度”重点要求，结合实际执行中的痛点、难点、堵点，初步设置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18个具体指标，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从实体、程序、技术、其他等四个维度，通过日常评估、专项评估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2种考核方式全方位评估“三项制度”执行情况。同时，将评估结果与绩效考核相结合。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着眼于“精”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，按制度、事项、层级、部门、岗位设4类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考核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指标，分级定档，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动态升降，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考出梯队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着力于“细”，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分区域、阶段、节点确定28项内容，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分块推进，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动态调整，考出真绩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着重于“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”，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将结核结果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组织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绩效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、个人绩效考评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挂钩，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分门别类，动态激励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，考出动力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推动后进赶先进，先进更先进。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解在“难”处，化堵点痛点，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破难题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聚焦税务执法的源头、过程和结果三个关键环节，通过深入推进“三项制度”改革，有效破解执法不规范、不严格、不公正、不文明等问题，营造更加公开透明、规范有序、公平高效的税收法治环境，为税收治理体系和治理能力现代化建设提供了有力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以“信息公示”破解执法不透明的难题，提升了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执法公信度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通过建立健全多渠道的税务执法信息公示载体，进一步提高执法的“能见度”和“透明度”，保证税务执法源头合法，强化事前公开、规范事中公示、加强事后公开。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截至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2022年10月，通过湖北省税务系统行政执法公示累计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发布各类执法信息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30.97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余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条，其中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公开准予行政许可结果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22.79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万余条、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非正常户认定信息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4.2万余条、欠税信息3.7万余条、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一般程序行政处罚结果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1655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条，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权力和责任清单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238项等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切实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保障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行政相对人和社会公众的知情权、参与权、表达权、监督权，让权力的实施有据可查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以“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过程记录”破解执法不文明的难题，提升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了执法规范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度。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着力规范文字记录、推行音像记录，不断强化税务执法全过程留痕和可回溯管理，在全省税务系统率先组织制作了7类9项执法全过程音像记录事项的教学视频，以案例的形式直观展现规范的执法过程，便于执法人员对照学习、掌握要点，有效解决随意执法、选择执法、粗暴执法等问题。截至2022年10月，投入使用的音像记录设备652个（平均每个执法单位配备30个）、已建成标准化约谈（询问）室22间，外购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音像记录平台对接的音视频文件存储服务器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18台，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录制并上传执法音像记录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19872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条，其中包括增值税专用发票最高开票限额审批实地查验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5434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条、一般注销程序中疑点核查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1072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条、文书送达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6512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条、税务稽查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3719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条、非正常户认定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3135条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以文字记录和音像记录互为佐证，形成完整的证据链条，既提高了规范文明执法水平，又减少了违法抗法等执法阻力，纳税人、缴费人税法遵从度进一步提升。武汉市税务执法全过程音像记录事项的教学片作为2021年全市税务系统创新项目受到省局肯定，并作为优秀项目报送国家税务总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以“法制审核”破解监督不到位的难题，提升了执法公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lang w:eastAsia="zh-CN"/>
        </w:rPr>
        <w:t>正度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通过明确法制审核主体、事项、内容和责任，完善法制审核流程和重大执法决定目录清单，充分发挥重大执法决定法制审核执法“纠正器”和“防火墙”作用，对达到审核标准的执法决定从执法主体、执法程序、案件事实、法律适用、文书规范等方面严格审核、集体审议，有效防范重大执法决定的执法风险，切实维护了行政相对人合法权益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截至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2022年10月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累计对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2623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起重大执法决定进行法制审核，其中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税务行政处罚案件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1981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、税务行政征收案件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583起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行政强制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执行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案件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，退回补充调查案件共计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141起，退回率5.38%。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全市税务行政复议、行政诉讼案件数量明显降低，行政复议维持率、行政诉讼胜诉率保持高位。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通过重大案件法制审核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有效提升了执法公正度，实现了合法行政与权益保护的统一。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思在“阻”处，持问题导向，计深远谋长效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瞄定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“三项制度”常态化运行的执行效果，坚持跟踪问效、动态管理。针对前期出现的音像记录执法流程不熟、法制审核人员不足，系统平台功能尚待完善、自动化程度尚待提高，系统间数据融合度不足、核心数据未得到充分运用等问题，须坚持顶层设计和整体布局、充分利用既有系统、借助经验曲线效应，知势而谋、乘势而上、应势而为，准确把握下一阶段主要目标和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一是着眼队伍建设问题，强化责任担当，提升执法水平。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加快法律专业人才归位进度，把政治素质高、业务能力强的人员调整充实到一线执法队伍，确保各执法单位实现法制审核人员占比要求。加快培育“正规化、专业化、职业化”税收法治人才队伍，提升税务公职律师等法治专业化团队的理论水平和实践能力，发挥他们在税收执法中的专业优势。营造税务执法队伍人人都能成才、人人尽展其才、人人尽享其才的生动局面。尝试打造标准化的执法礼仪，树立平和、理性、文明、宽容的执法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二是紧盯技术保障问题，完善系统功能，减轻人工压力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在现有系统体系下统一标准、统一规范，硬件、软件两手抓，为“三项制度”的执行打造更为安全便捷高效的技术环境。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highlight w:val="none"/>
          <w:lang w:val="en-US" w:eastAsia="zh-CN"/>
        </w:rPr>
        <w:t>硬件上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，进一步加强移动执法平台建设，改进音像记录设备视频质量不佳、收音效果不好、网络信号不佳、设备佩戴不方便等问题；根据实际需要完善固定执法平台建设，适时实现数字化约谈（询问）室各执法单位全覆盖。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highlight w:val="none"/>
          <w:lang w:val="en-US" w:eastAsia="zh-CN"/>
        </w:rPr>
        <w:t>软件上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，深化各信息生产平台与执法信息公示平台的对接程度，在目前实现的15类信息自动抓取的基础上，逐步提高公示信息自动化提取占比，不断增强自动提取数据的准确性和完整性，优化公示系统对敏感信息的识别和自动打码功能；加速推进重大法制审核全部事项网上流转智能化进程，设置应审事项智能监控提醒和自由裁量标准的自动审核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三是聚焦信息运用问题，推进数据共享，增强数治能力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。深入贯彻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创新、绿色、共享的新发展理念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以一体化平台建设为导向，打破“数据孤岛”，探索构建税务数字化生态体系。挖掘“三项制度”信息平台的核心数据价值，通过深化音像记录平台与金税三期税收管理系统、湖北税收大数据等平台的数据融合，完善同一事项集中展示功能，将各个系统的数据与纸质文书扫描件、音像记录等集中归档。推进跨部门信息共享、做深做实数据分析，发挥大数据对线索研判和案件查办的支撑作用，反向运用信息化战法进行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7673"/>
    <w:multiLevelType w:val="singleLevel"/>
    <w:tmpl w:val="7E8676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4822"/>
    <w:rsid w:val="32D34822"/>
    <w:rsid w:val="49CA0F89"/>
    <w:rsid w:val="5C5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2023-03-27T09:40:00Z</dcterms:created>
  <dc:creator>Administrator</dc:creator>
  <cp:lastModifiedBy>Administrator</cp:lastModifiedBy>
  <cp:lastPrinted>2023-03-29T03:16:00Z</cp:lastPrinted>
  <dcterms:modified xsi:type="dcterms:W3CDTF">2023-03-30T01:39:12Z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