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7E1DA">
      <w:pPr>
        <w:pStyle w:val="5"/>
        <w:keepNext w:val="0"/>
        <w:keepLines w:val="0"/>
        <w:pageBreakBefore w:val="0"/>
        <w:widowControl w:val="0"/>
        <w:kinsoku/>
        <w:wordWrap/>
        <w:overflowPunct/>
        <w:topLinePunct w:val="0"/>
        <w:autoSpaceDE/>
        <w:autoSpaceDN/>
        <w:bidi w:val="0"/>
        <w:adjustRightInd/>
        <w:snapToGrid/>
        <w:spacing w:after="0" w:line="500" w:lineRule="exact"/>
        <w:ind w:left="0" w:leftChars="0" w:firstLine="0" w:firstLineChars="0"/>
        <w:jc w:val="both"/>
        <w:textAlignment w:val="auto"/>
        <w:rPr>
          <w:rFonts w:hint="eastAsia"/>
          <w:lang w:val="en-US" w:eastAsia="zh-CN"/>
        </w:rPr>
      </w:pPr>
    </w:p>
    <w:p w14:paraId="14EE7E4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kern w:val="0"/>
          <w:sz w:val="44"/>
          <w:szCs w:val="44"/>
          <w:lang w:val="en-US" w:eastAsia="zh-CN" w:bidi="ar"/>
        </w:rPr>
      </w:pPr>
      <w:r>
        <w:rPr>
          <w:rFonts w:hint="eastAsia" w:ascii="方正小标宋简体" w:hAnsi="方正小标宋简体" w:eastAsia="方正小标宋简体" w:cs="方正小标宋简体"/>
          <w:b w:val="0"/>
          <w:bCs w:val="0"/>
          <w:kern w:val="0"/>
          <w:sz w:val="44"/>
          <w:szCs w:val="44"/>
          <w:lang w:val="en-US" w:eastAsia="zh-CN" w:bidi="ar"/>
        </w:rPr>
        <w:t>关于《武汉市江滩管理办法（草案</w:t>
      </w:r>
    </w:p>
    <w:p w14:paraId="705239D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eastAsia" w:ascii="宋体" w:hAnsi="宋体" w:eastAsia="宋体" w:cs="宋体"/>
          <w:b/>
          <w:bCs/>
          <w:kern w:val="0"/>
          <w:sz w:val="44"/>
          <w:szCs w:val="44"/>
          <w:lang w:val="en-US" w:eastAsia="zh-CN" w:bidi="ar"/>
        </w:rPr>
      </w:pPr>
      <w:r>
        <w:rPr>
          <w:rFonts w:hint="eastAsia" w:ascii="方正小标宋简体" w:hAnsi="方正小标宋简体" w:eastAsia="方正小标宋简体" w:cs="方正小标宋简体"/>
          <w:b w:val="0"/>
          <w:bCs w:val="0"/>
          <w:kern w:val="0"/>
          <w:sz w:val="44"/>
          <w:szCs w:val="44"/>
          <w:lang w:val="en-US" w:eastAsia="zh-CN" w:bidi="ar"/>
        </w:rPr>
        <w:t>征求意见稿）》的起草说明</w:t>
      </w:r>
    </w:p>
    <w:p w14:paraId="6C9ABED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小标宋_GBK" w:hAnsi="方正小标宋_GBK" w:eastAsia="方正小标宋_GBK" w:cs="方正小标宋_GBK"/>
          <w:b w:val="0"/>
          <w:bCs w:val="0"/>
          <w:sz w:val="44"/>
          <w:szCs w:val="44"/>
          <w:lang w:eastAsia="zh-CN"/>
        </w:rPr>
      </w:pPr>
    </w:p>
    <w:p w14:paraId="11AEB598">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现将</w:t>
      </w:r>
      <w:r>
        <w:rPr>
          <w:rFonts w:hint="eastAsia" w:ascii="仿宋_GB2312" w:hAnsi="仿宋_GB2312" w:eastAsia="仿宋_GB2312" w:cs="仿宋_GB2312"/>
          <w:b w:val="0"/>
          <w:bCs w:val="0"/>
          <w:sz w:val="32"/>
          <w:szCs w:val="32"/>
          <w:lang w:eastAsia="zh-CN"/>
        </w:rPr>
        <w:t>《武汉市江滩管理办法》起草情况</w:t>
      </w:r>
      <w:r>
        <w:rPr>
          <w:rFonts w:hint="eastAsia" w:ascii="仿宋_GB2312" w:hAnsi="仿宋_GB2312" w:eastAsia="仿宋_GB2312" w:cs="仿宋_GB2312"/>
          <w:b w:val="0"/>
          <w:bCs w:val="0"/>
          <w:sz w:val="32"/>
          <w:szCs w:val="32"/>
        </w:rPr>
        <w:t>说明</w:t>
      </w:r>
      <w:r>
        <w:rPr>
          <w:rFonts w:hint="eastAsia" w:ascii="仿宋_GB2312" w:hAnsi="仿宋_GB2312" w:cs="仿宋_GB2312"/>
          <w:b w:val="0"/>
          <w:bCs w:val="0"/>
          <w:sz w:val="32"/>
          <w:szCs w:val="32"/>
          <w:lang w:val="en-US" w:eastAsia="zh-CN"/>
        </w:rPr>
        <w:t>如下：</w:t>
      </w:r>
    </w:p>
    <w:p w14:paraId="48354392">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kern w:val="2"/>
          <w:sz w:val="32"/>
          <w:szCs w:val="32"/>
          <w:lang w:val="en-US" w:eastAsia="zh-CN" w:bidi="ar-SA"/>
        </w:rPr>
        <w:t>一、</w:t>
      </w:r>
      <w:r>
        <w:rPr>
          <w:rFonts w:hint="eastAsia" w:ascii="黑体" w:hAnsi="黑体" w:eastAsia="黑体" w:cs="黑体"/>
          <w:b w:val="0"/>
          <w:bCs w:val="0"/>
          <w:sz w:val="32"/>
          <w:szCs w:val="32"/>
          <w:lang w:val="en-US" w:eastAsia="zh-CN"/>
        </w:rPr>
        <w:t>修订的必要性</w:t>
      </w:r>
    </w:p>
    <w:p w14:paraId="5F4859B0">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eastAsia" w:ascii="楷体" w:hAnsi="楷体" w:eastAsia="楷体" w:cs="楷体"/>
          <w:b w:val="0"/>
          <w:bCs w:val="0"/>
          <w:color w:val="000000"/>
          <w:sz w:val="32"/>
          <w:szCs w:val="32"/>
        </w:rPr>
      </w:pPr>
      <w:r>
        <w:rPr>
          <w:rFonts w:hint="eastAsia" w:ascii="仿宋_GB2312" w:hAnsi="仿宋_GB2312" w:eastAsia="仿宋_GB2312" w:cs="仿宋_GB2312"/>
          <w:b w:val="0"/>
          <w:bCs w:val="0"/>
          <w:sz w:val="32"/>
          <w:szCs w:val="32"/>
          <w:lang w:eastAsia="zh-CN"/>
        </w:rPr>
        <w:t>《武汉市江滩管理办法》（以下简称《办法》）自2015年施行以来，对规范江滩管理、保障防洪安全、提升城市形象发挥了重要作用。随着长江大保护战略的深入推进、百里长江生态廊道全面贯通、城市滨水空间治理迭代升级，现行《办法》已难以适应新形势、新要求。修订《办法》主要基于</w:t>
      </w:r>
      <w:r>
        <w:rPr>
          <w:rFonts w:hint="eastAsia" w:ascii="仿宋_GB2312" w:hAnsi="仿宋_GB2312" w:eastAsia="仿宋_GB2312" w:cs="仿宋_GB2312"/>
          <w:b w:val="0"/>
          <w:bCs w:val="0"/>
          <w:sz w:val="32"/>
          <w:szCs w:val="32"/>
          <w:lang w:val="en-US" w:eastAsia="zh-CN"/>
        </w:rPr>
        <w:t>几</w:t>
      </w:r>
      <w:r>
        <w:rPr>
          <w:rFonts w:hint="eastAsia" w:ascii="仿宋_GB2312" w:hAnsi="仿宋_GB2312" w:eastAsia="仿宋_GB2312" w:cs="仿宋_GB2312"/>
          <w:b w:val="0"/>
          <w:bCs w:val="0"/>
          <w:sz w:val="32"/>
          <w:szCs w:val="32"/>
          <w:lang w:eastAsia="zh-CN"/>
        </w:rPr>
        <w:t>个方面的考虑：</w:t>
      </w:r>
    </w:p>
    <w:p w14:paraId="7AA1BF8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rPr>
      </w:pPr>
      <w:r>
        <w:rPr>
          <w:rFonts w:hint="eastAsia" w:ascii="楷体" w:hAnsi="楷体" w:eastAsia="楷体" w:cs="楷体"/>
          <w:b w:val="0"/>
          <w:bCs w:val="0"/>
          <w:color w:val="000000"/>
          <w:sz w:val="32"/>
          <w:szCs w:val="32"/>
        </w:rPr>
        <w:t>（一）</w:t>
      </w:r>
      <w:r>
        <w:rPr>
          <w:rFonts w:hint="eastAsia" w:ascii="楷体" w:hAnsi="楷体" w:eastAsia="楷体" w:cs="楷体"/>
          <w:b w:val="0"/>
          <w:bCs w:val="0"/>
          <w:color w:val="000000"/>
          <w:sz w:val="32"/>
          <w:szCs w:val="32"/>
          <w:lang w:val="en-US" w:eastAsia="zh-CN"/>
        </w:rPr>
        <w:t>法律</w:t>
      </w:r>
      <w:r>
        <w:rPr>
          <w:rFonts w:hint="eastAsia" w:ascii="楷体" w:hAnsi="楷体" w:eastAsia="楷体" w:cs="楷体"/>
          <w:b w:val="0"/>
          <w:bCs w:val="0"/>
          <w:color w:val="000000"/>
          <w:sz w:val="32"/>
          <w:szCs w:val="32"/>
        </w:rPr>
        <w:t>法规提出新要求。</w:t>
      </w:r>
      <w:r>
        <w:rPr>
          <w:rFonts w:hint="eastAsia" w:ascii="仿宋_GB2312" w:hAnsi="仿宋_GB2312" w:eastAsia="仿宋_GB2312" w:cs="仿宋_GB2312"/>
          <w:b w:val="0"/>
          <w:bCs w:val="0"/>
          <w:color w:val="000000"/>
          <w:kern w:val="0"/>
          <w:sz w:val="32"/>
          <w:szCs w:val="32"/>
          <w:lang w:val="en-US" w:eastAsia="zh-CN" w:bidi="ar"/>
        </w:rPr>
        <w:t>《中华人民共和国长江保护法》《中华人民共和国河道管理条例》等一批上位法先后颁布或者修订，</w:t>
      </w:r>
      <w:r>
        <w:rPr>
          <w:rFonts w:hint="eastAsia" w:ascii="仿宋_GB2312" w:hAnsi="仿宋_GB2312" w:eastAsia="仿宋_GB2312" w:cs="仿宋_GB2312"/>
          <w:b w:val="0"/>
          <w:bCs w:val="0"/>
          <w:sz w:val="32"/>
          <w:szCs w:val="32"/>
        </w:rPr>
        <w:t>水利部《关于推动水利风景区高质量发展的指导意见》等顶层设计</w:t>
      </w:r>
      <w:r>
        <w:rPr>
          <w:rFonts w:hint="eastAsia" w:ascii="仿宋_GB2312" w:hAnsi="仿宋_GB2312" w:eastAsia="仿宋_GB2312" w:cs="仿宋_GB2312"/>
          <w:b w:val="0"/>
          <w:bCs w:val="0"/>
          <w:sz w:val="32"/>
          <w:szCs w:val="32"/>
          <w:lang w:val="en-US" w:eastAsia="zh-CN"/>
        </w:rPr>
        <w:t>出台，现行</w:t>
      </w:r>
      <w:r>
        <w:rPr>
          <w:rFonts w:hint="eastAsia" w:ascii="仿宋_GB2312" w:hAnsi="仿宋_GB2312" w:eastAsia="仿宋_GB2312" w:cs="仿宋_GB2312"/>
          <w:b w:val="0"/>
          <w:bCs w:val="0"/>
          <w:sz w:val="32"/>
          <w:szCs w:val="32"/>
          <w:lang w:eastAsia="zh-CN"/>
        </w:rPr>
        <w:t>《办法》</w:t>
      </w:r>
      <w:r>
        <w:rPr>
          <w:rFonts w:hint="eastAsia" w:ascii="仿宋_GB2312" w:hAnsi="仿宋_GB2312" w:eastAsia="仿宋_GB2312" w:cs="仿宋_GB2312"/>
          <w:b w:val="0"/>
          <w:bCs w:val="0"/>
          <w:sz w:val="32"/>
          <w:szCs w:val="32"/>
          <w:lang w:val="en-US" w:eastAsia="zh-CN"/>
        </w:rPr>
        <w:t>的</w:t>
      </w:r>
      <w:r>
        <w:rPr>
          <w:rFonts w:hint="eastAsia" w:ascii="仿宋_GB2312" w:hAnsi="仿宋_GB2312" w:eastAsia="仿宋_GB2312" w:cs="仿宋_GB2312"/>
          <w:b w:val="0"/>
          <w:bCs w:val="0"/>
          <w:color w:val="000000"/>
          <w:kern w:val="0"/>
          <w:sz w:val="32"/>
          <w:szCs w:val="32"/>
          <w:lang w:val="en-US" w:eastAsia="zh-CN" w:bidi="ar"/>
        </w:rPr>
        <w:t>条款存在上位法衔接不畅、制度条款老旧、权责设定不符新规等问题。</w:t>
      </w:r>
    </w:p>
    <w:p w14:paraId="7B823FCA">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楷体" w:hAnsi="楷体" w:eastAsia="楷体" w:cs="楷体"/>
          <w:b w:val="0"/>
          <w:bCs w:val="0"/>
          <w:color w:val="000000"/>
          <w:sz w:val="32"/>
          <w:szCs w:val="32"/>
        </w:rPr>
        <w:t>（二）</w:t>
      </w:r>
      <w:r>
        <w:rPr>
          <w:rFonts w:hint="eastAsia" w:ascii="楷体" w:hAnsi="楷体" w:eastAsia="楷体" w:cs="楷体"/>
          <w:b w:val="0"/>
          <w:bCs w:val="0"/>
          <w:color w:val="000000"/>
          <w:sz w:val="32"/>
          <w:szCs w:val="32"/>
          <w:lang w:val="en-US" w:eastAsia="zh-CN"/>
        </w:rPr>
        <w:t>规模功能出现新变化</w:t>
      </w:r>
      <w:r>
        <w:rPr>
          <w:rStyle w:val="10"/>
          <w:rFonts w:hint="eastAsia" w:ascii="楷体" w:hAnsi="楷体" w:eastAsia="楷体" w:cs="楷体"/>
          <w:b w:val="0"/>
          <w:bCs w:val="0"/>
          <w:color w:val="000000"/>
          <w:sz w:val="32"/>
          <w:szCs w:val="32"/>
          <w:lang w:eastAsia="zh-CN"/>
        </w:rPr>
        <w:t>。</w:t>
      </w:r>
      <w:r>
        <w:rPr>
          <w:rFonts w:hint="eastAsia" w:ascii="仿宋_GB2312" w:hAnsi="仿宋_GB2312" w:eastAsia="仿宋_GB2312" w:cs="仿宋_GB2312"/>
          <w:b w:val="0"/>
          <w:bCs w:val="0"/>
          <w:color w:val="000000"/>
          <w:kern w:val="0"/>
          <w:sz w:val="32"/>
          <w:szCs w:val="32"/>
          <w:lang w:val="en-US" w:eastAsia="zh-CN" w:bidi="ar"/>
        </w:rPr>
        <w:t>江滩早已从城市重要堤防迭代为集城市防洪、生态涵养、休闲游憩、运动健身、文化宣传等功能于一体的复合型城市滨水生态空间，现行</w:t>
      </w:r>
      <w:r>
        <w:rPr>
          <w:rFonts w:hint="eastAsia" w:ascii="仿宋_GB2312" w:hAnsi="仿宋_GB2312" w:eastAsia="仿宋_GB2312" w:cs="仿宋_GB2312"/>
          <w:b w:val="0"/>
          <w:bCs w:val="0"/>
          <w:sz w:val="32"/>
          <w:szCs w:val="32"/>
          <w:lang w:eastAsia="zh-CN"/>
        </w:rPr>
        <w:t>《办法》</w:t>
      </w:r>
      <w:r>
        <w:rPr>
          <w:rFonts w:hint="eastAsia" w:ascii="仿宋_GB2312" w:hAnsi="仿宋_GB2312" w:eastAsia="仿宋_GB2312" w:cs="仿宋_GB2312"/>
          <w:b w:val="0"/>
          <w:bCs w:val="0"/>
          <w:color w:val="000000"/>
          <w:kern w:val="0"/>
          <w:sz w:val="32"/>
          <w:szCs w:val="32"/>
          <w:lang w:val="en-US" w:eastAsia="zh-CN" w:bidi="ar"/>
        </w:rPr>
        <w:t>的适配范围和制度设计，难以匹配新时代滨水生态名城建设和绿色水经济高质量发展的现实需求。</w:t>
      </w:r>
    </w:p>
    <w:p w14:paraId="4D40FC53">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 w:hAnsi="楷体" w:eastAsia="楷体" w:cs="楷体"/>
          <w:b w:val="0"/>
          <w:bCs w:val="0"/>
          <w:color w:val="000000"/>
          <w:sz w:val="32"/>
          <w:szCs w:val="32"/>
        </w:rPr>
        <w:t>（</w:t>
      </w:r>
      <w:r>
        <w:rPr>
          <w:rFonts w:hint="eastAsia" w:ascii="楷体" w:hAnsi="楷体" w:eastAsia="楷体" w:cs="楷体"/>
          <w:b w:val="0"/>
          <w:bCs w:val="0"/>
          <w:color w:val="000000"/>
          <w:sz w:val="32"/>
          <w:szCs w:val="32"/>
          <w:lang w:val="en-US" w:eastAsia="zh-CN"/>
        </w:rPr>
        <w:t>三</w:t>
      </w:r>
      <w:r>
        <w:rPr>
          <w:rFonts w:hint="eastAsia" w:ascii="楷体" w:hAnsi="楷体" w:eastAsia="楷体" w:cs="楷体"/>
          <w:b w:val="0"/>
          <w:bCs w:val="0"/>
          <w:color w:val="000000"/>
          <w:sz w:val="32"/>
          <w:szCs w:val="32"/>
        </w:rPr>
        <w:t>）</w:t>
      </w:r>
      <w:r>
        <w:rPr>
          <w:rFonts w:hint="eastAsia" w:ascii="楷体" w:hAnsi="楷体" w:eastAsia="楷体" w:cs="楷体"/>
          <w:b w:val="0"/>
          <w:bCs w:val="0"/>
          <w:color w:val="000000"/>
          <w:sz w:val="32"/>
          <w:szCs w:val="32"/>
          <w:lang w:val="en-US" w:eastAsia="zh-CN"/>
        </w:rPr>
        <w:t>管理模式呈现新格局</w:t>
      </w:r>
      <w:r>
        <w:rPr>
          <w:rFonts w:hint="eastAsia" w:ascii="楷体" w:hAnsi="楷体" w:eastAsia="楷体" w:cs="楷体"/>
          <w:b w:val="0"/>
          <w:bCs w:val="0"/>
          <w:color w:val="000000"/>
          <w:sz w:val="32"/>
          <w:szCs w:val="32"/>
          <w:lang w:eastAsia="zh-CN"/>
        </w:rPr>
        <w:t>。</w:t>
      </w:r>
      <w:r>
        <w:rPr>
          <w:rFonts w:hint="eastAsia" w:ascii="仿宋_GB2312" w:hAnsi="仿宋_GB2312" w:eastAsia="仿宋_GB2312" w:cs="仿宋_GB2312"/>
          <w:b w:val="0"/>
          <w:bCs w:val="0"/>
          <w:color w:val="000000"/>
          <w:kern w:val="0"/>
          <w:sz w:val="32"/>
          <w:szCs w:val="32"/>
          <w:lang w:val="en-US" w:eastAsia="zh-CN" w:bidi="ar"/>
        </w:rPr>
        <w:t>当前武汉江滩管理主体和运营主体多元化，需进一步厘清各级人民政府、水行政主管部门、江滩管理机构和相关职能部门的职责。同时鼓励社会公众参与江滩治理，将共治共享理念、智慧江滩建设等内容纳入制度设计，推动江滩管理向</w:t>
      </w:r>
      <w:r>
        <w:rPr>
          <w:rStyle w:val="10"/>
          <w:rFonts w:hint="eastAsia" w:ascii="仿宋_GB2312" w:hAnsi="仿宋_GB2312" w:eastAsia="仿宋_GB2312" w:cs="仿宋_GB2312"/>
          <w:b w:val="0"/>
          <w:bCs w:val="0"/>
          <w:color w:val="000000"/>
          <w:kern w:val="0"/>
          <w:sz w:val="32"/>
          <w:szCs w:val="32"/>
          <w:lang w:val="en-US" w:eastAsia="zh-CN" w:bidi="ar"/>
        </w:rPr>
        <w:t>“众管、智管、精管”转型</w:t>
      </w:r>
      <w:r>
        <w:rPr>
          <w:rFonts w:hint="eastAsia" w:ascii="仿宋_GB2312" w:hAnsi="仿宋_GB2312" w:eastAsia="仿宋_GB2312" w:cs="仿宋_GB2312"/>
          <w:b w:val="0"/>
          <w:bCs w:val="0"/>
          <w:color w:val="000000"/>
          <w:kern w:val="0"/>
          <w:sz w:val="32"/>
          <w:szCs w:val="32"/>
          <w:lang w:val="en-US" w:eastAsia="zh-CN" w:bidi="ar"/>
        </w:rPr>
        <w:t>。</w:t>
      </w:r>
    </w:p>
    <w:p w14:paraId="7C394BED">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楷体" w:hAnsi="楷体" w:eastAsia="楷体" w:cs="楷体"/>
          <w:b w:val="0"/>
          <w:bCs w:val="0"/>
          <w:color w:val="000000"/>
          <w:sz w:val="32"/>
          <w:szCs w:val="32"/>
        </w:rPr>
        <w:t>（</w:t>
      </w:r>
      <w:r>
        <w:rPr>
          <w:rFonts w:hint="eastAsia" w:ascii="楷体" w:hAnsi="楷体" w:eastAsia="楷体" w:cs="楷体"/>
          <w:b w:val="0"/>
          <w:bCs w:val="0"/>
          <w:color w:val="000000"/>
          <w:sz w:val="32"/>
          <w:szCs w:val="32"/>
          <w:lang w:val="en-US" w:eastAsia="zh-CN"/>
        </w:rPr>
        <w:t>四</w:t>
      </w:r>
      <w:r>
        <w:rPr>
          <w:rFonts w:hint="eastAsia" w:ascii="楷体" w:hAnsi="楷体" w:eastAsia="楷体" w:cs="楷体"/>
          <w:b w:val="0"/>
          <w:bCs w:val="0"/>
          <w:color w:val="000000"/>
          <w:sz w:val="32"/>
          <w:szCs w:val="32"/>
        </w:rPr>
        <w:t>）保护利用赋予新使命</w:t>
      </w:r>
      <w:r>
        <w:rPr>
          <w:rStyle w:val="10"/>
          <w:rFonts w:hint="eastAsia" w:ascii="楷体" w:hAnsi="楷体" w:eastAsia="楷体" w:cs="楷体"/>
          <w:b w:val="0"/>
          <w:bCs w:val="0"/>
          <w:color w:val="000000"/>
          <w:sz w:val="32"/>
          <w:szCs w:val="32"/>
          <w:lang w:eastAsia="zh-CN"/>
        </w:rPr>
        <w:t>。</w:t>
      </w:r>
      <w:r>
        <w:rPr>
          <w:rFonts w:hint="eastAsia" w:ascii="仿宋_GB2312" w:hAnsi="仿宋_GB2312" w:eastAsia="仿宋_GB2312" w:cs="仿宋_GB2312"/>
          <w:b w:val="0"/>
          <w:bCs w:val="0"/>
          <w:sz w:val="32"/>
          <w:szCs w:val="32"/>
        </w:rPr>
        <w:t>随着长江国家文化公园武汉段建设加快推进、绿色水经济蓬勃兴起，江滩保护利用的内涵和外延大幅拓展。</w:t>
      </w:r>
      <w:r>
        <w:rPr>
          <w:rFonts w:hint="eastAsia" w:ascii="仿宋_GB2312" w:hAnsi="仿宋_GB2312" w:eastAsia="仿宋_GB2312" w:cs="仿宋_GB2312"/>
          <w:b w:val="0"/>
          <w:bCs w:val="0"/>
          <w:sz w:val="32"/>
          <w:szCs w:val="32"/>
          <w:lang w:val="en-US" w:eastAsia="zh-CN"/>
        </w:rPr>
        <w:t>现行</w:t>
      </w:r>
      <w:r>
        <w:rPr>
          <w:rFonts w:hint="eastAsia" w:ascii="仿宋_GB2312" w:hAnsi="仿宋_GB2312" w:eastAsia="仿宋_GB2312" w:cs="仿宋_GB2312"/>
          <w:b w:val="0"/>
          <w:bCs w:val="0"/>
          <w:sz w:val="32"/>
          <w:szCs w:val="32"/>
          <w:lang w:eastAsia="zh-CN"/>
        </w:rPr>
        <w:t>《办法》</w:t>
      </w:r>
      <w:r>
        <w:rPr>
          <w:rFonts w:hint="eastAsia" w:ascii="仿宋_GB2312" w:hAnsi="仿宋_GB2312" w:eastAsia="仿宋_GB2312" w:cs="仿宋_GB2312"/>
          <w:b w:val="0"/>
          <w:bCs w:val="0"/>
          <w:sz w:val="32"/>
          <w:szCs w:val="32"/>
        </w:rPr>
        <w:t>缺乏对绿色业态发展、文化资源活化、</w:t>
      </w:r>
      <w:r>
        <w:rPr>
          <w:rFonts w:hint="eastAsia" w:ascii="仿宋_GB2312" w:hAnsi="仿宋_GB2312" w:eastAsia="仿宋_GB2312" w:cs="仿宋_GB2312"/>
          <w:b w:val="0"/>
          <w:bCs w:val="0"/>
          <w:sz w:val="32"/>
          <w:szCs w:val="32"/>
          <w:lang w:val="en-US" w:eastAsia="zh-CN"/>
        </w:rPr>
        <w:t>文旅</w:t>
      </w:r>
      <w:r>
        <w:rPr>
          <w:rFonts w:hint="eastAsia" w:ascii="仿宋_GB2312" w:hAnsi="仿宋_GB2312" w:eastAsia="仿宋_GB2312" w:cs="仿宋_GB2312"/>
          <w:b w:val="0"/>
          <w:bCs w:val="0"/>
          <w:sz w:val="32"/>
          <w:szCs w:val="32"/>
        </w:rPr>
        <w:t>活动规范的系统性制度设计，</w:t>
      </w:r>
      <w:r>
        <w:rPr>
          <w:rFonts w:hint="eastAsia" w:ascii="仿宋_GB2312" w:hAnsi="仿宋_GB2312" w:eastAsia="仿宋_GB2312" w:cs="仿宋_GB2312"/>
          <w:b w:val="0"/>
          <w:bCs w:val="0"/>
          <w:sz w:val="32"/>
          <w:szCs w:val="32"/>
          <w:lang w:eastAsia="zh-CN"/>
        </w:rPr>
        <w:t>亟须</w:t>
      </w:r>
      <w:r>
        <w:rPr>
          <w:rFonts w:hint="eastAsia" w:ascii="仿宋_GB2312" w:hAnsi="仿宋_GB2312" w:eastAsia="仿宋_GB2312" w:cs="仿宋_GB2312"/>
          <w:b w:val="0"/>
          <w:bCs w:val="0"/>
          <w:sz w:val="32"/>
          <w:szCs w:val="32"/>
        </w:rPr>
        <w:t>立法明确保护与利用</w:t>
      </w:r>
      <w:r>
        <w:rPr>
          <w:rFonts w:hint="eastAsia" w:ascii="仿宋_GB2312" w:hAnsi="仿宋_GB2312" w:cs="仿宋_GB2312"/>
          <w:b w:val="0"/>
          <w:bCs w:val="0"/>
          <w:sz w:val="32"/>
          <w:szCs w:val="32"/>
          <w:lang w:val="en-US" w:eastAsia="zh-CN"/>
        </w:rPr>
        <w:t>江滩</w:t>
      </w:r>
      <w:r>
        <w:rPr>
          <w:rFonts w:hint="eastAsia" w:ascii="仿宋_GB2312" w:hAnsi="仿宋_GB2312" w:eastAsia="仿宋_GB2312" w:cs="仿宋_GB2312"/>
          <w:b w:val="0"/>
          <w:bCs w:val="0"/>
          <w:sz w:val="32"/>
          <w:szCs w:val="32"/>
        </w:rPr>
        <w:t>的边界</w:t>
      </w:r>
      <w:r>
        <w:rPr>
          <w:rFonts w:hint="eastAsia" w:ascii="仿宋_GB2312" w:hAnsi="仿宋_GB2312" w:eastAsia="仿宋_GB2312" w:cs="仿宋_GB2312"/>
          <w:b w:val="0"/>
          <w:bCs w:val="0"/>
          <w:sz w:val="32"/>
          <w:szCs w:val="32"/>
          <w:lang w:eastAsia="zh-CN"/>
        </w:rPr>
        <w:t>。</w:t>
      </w:r>
    </w:p>
    <w:p w14:paraId="64F6EAED">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二、修订过程</w:t>
      </w:r>
    </w:p>
    <w:p w14:paraId="75C16F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b w:val="0"/>
          <w:color w:val="auto"/>
          <w:kern w:val="2"/>
          <w:sz w:val="32"/>
          <w:szCs w:val="32"/>
          <w:highlight w:val="none"/>
          <w:lang w:val="en-US" w:eastAsia="zh-CN" w:bidi="ar-SA"/>
        </w:rPr>
      </w:pPr>
      <w:r>
        <w:rPr>
          <w:rFonts w:hint="default" w:ascii="Times New Roman" w:hAnsi="Times New Roman" w:eastAsia="仿宋_GB2312" w:cs="Times New Roman"/>
          <w:b w:val="0"/>
          <w:color w:val="auto"/>
          <w:kern w:val="2"/>
          <w:sz w:val="32"/>
          <w:szCs w:val="32"/>
          <w:highlight w:val="none"/>
          <w:lang w:val="en-US" w:eastAsia="zh-CN" w:bidi="ar-SA"/>
        </w:rPr>
        <w:t>修订《</w:t>
      </w:r>
      <w:r>
        <w:rPr>
          <w:rFonts w:hint="eastAsia" w:ascii="仿宋_GB2312" w:hAnsi="仿宋_GB2312" w:eastAsia="仿宋_GB2312" w:cs="仿宋_GB2312"/>
          <w:b w:val="0"/>
          <w:bCs w:val="0"/>
          <w:sz w:val="32"/>
          <w:szCs w:val="32"/>
          <w:lang w:eastAsia="zh-CN"/>
        </w:rPr>
        <w:t>武汉市江滩管理办法</w:t>
      </w:r>
      <w:r>
        <w:rPr>
          <w:rFonts w:hint="default" w:ascii="Times New Roman" w:hAnsi="Times New Roman" w:eastAsia="仿宋_GB2312" w:cs="Times New Roman"/>
          <w:b w:val="0"/>
          <w:color w:val="auto"/>
          <w:kern w:val="2"/>
          <w:sz w:val="32"/>
          <w:szCs w:val="32"/>
          <w:highlight w:val="none"/>
          <w:lang w:val="en-US" w:eastAsia="zh-CN" w:bidi="ar-SA"/>
        </w:rPr>
        <w:t>》是202</w:t>
      </w:r>
      <w:r>
        <w:rPr>
          <w:rFonts w:hint="eastAsia" w:cs="Times New Roman"/>
          <w:b w:val="0"/>
          <w:color w:val="auto"/>
          <w:kern w:val="2"/>
          <w:sz w:val="32"/>
          <w:szCs w:val="32"/>
          <w:highlight w:val="none"/>
          <w:lang w:val="en-US" w:eastAsia="zh-CN" w:bidi="ar-SA"/>
        </w:rPr>
        <w:t>6</w:t>
      </w:r>
      <w:r>
        <w:rPr>
          <w:rFonts w:hint="default" w:ascii="Times New Roman" w:hAnsi="Times New Roman" w:eastAsia="仿宋_GB2312" w:cs="Times New Roman"/>
          <w:b w:val="0"/>
          <w:color w:val="auto"/>
          <w:kern w:val="2"/>
          <w:sz w:val="32"/>
          <w:szCs w:val="32"/>
          <w:highlight w:val="none"/>
          <w:lang w:val="en-US" w:eastAsia="zh-CN" w:bidi="ar-SA"/>
        </w:rPr>
        <w:t>年市人民政府确定的正式立法项目，由市</w:t>
      </w:r>
      <w:r>
        <w:rPr>
          <w:rFonts w:hint="eastAsia" w:cs="Times New Roman"/>
          <w:b w:val="0"/>
          <w:color w:val="auto"/>
          <w:kern w:val="2"/>
          <w:sz w:val="32"/>
          <w:szCs w:val="32"/>
          <w:highlight w:val="none"/>
          <w:lang w:val="en-US" w:eastAsia="zh-CN" w:bidi="ar-SA"/>
        </w:rPr>
        <w:t>水务局</w:t>
      </w:r>
      <w:r>
        <w:rPr>
          <w:rFonts w:hint="default" w:ascii="Times New Roman" w:hAnsi="Times New Roman" w:eastAsia="仿宋_GB2312" w:cs="Times New Roman"/>
          <w:b w:val="0"/>
          <w:color w:val="auto"/>
          <w:kern w:val="2"/>
          <w:sz w:val="32"/>
          <w:szCs w:val="32"/>
          <w:highlight w:val="none"/>
          <w:lang w:val="en-US" w:eastAsia="zh-CN" w:bidi="ar-SA"/>
        </w:rPr>
        <w:t>承担起草工作。经武汉市内各区</w:t>
      </w:r>
      <w:r>
        <w:rPr>
          <w:rFonts w:hint="eastAsia" w:ascii="Times New Roman" w:hAnsi="Times New Roman" w:eastAsia="仿宋_GB2312" w:cs="Times New Roman"/>
          <w:b w:val="0"/>
          <w:color w:val="auto"/>
          <w:kern w:val="2"/>
          <w:sz w:val="32"/>
          <w:szCs w:val="32"/>
          <w:highlight w:val="none"/>
          <w:lang w:val="en-US" w:eastAsia="zh-CN" w:bidi="ar-SA"/>
        </w:rPr>
        <w:t>广泛</w:t>
      </w:r>
      <w:r>
        <w:rPr>
          <w:rFonts w:hint="default" w:ascii="Times New Roman" w:hAnsi="Times New Roman" w:eastAsia="仿宋_GB2312" w:cs="Times New Roman"/>
          <w:b w:val="0"/>
          <w:color w:val="auto"/>
          <w:kern w:val="2"/>
          <w:sz w:val="32"/>
          <w:szCs w:val="32"/>
          <w:highlight w:val="none"/>
          <w:lang w:val="en-US" w:eastAsia="zh-CN" w:bidi="ar-SA"/>
        </w:rPr>
        <w:t>调研座谈</w:t>
      </w:r>
      <w:r>
        <w:rPr>
          <w:rFonts w:hint="eastAsia" w:ascii="Times New Roman" w:hAnsi="Times New Roman" w:eastAsia="仿宋_GB2312" w:cs="Times New Roman"/>
          <w:b w:val="0"/>
          <w:color w:val="auto"/>
          <w:kern w:val="2"/>
          <w:sz w:val="32"/>
          <w:szCs w:val="32"/>
          <w:highlight w:val="none"/>
          <w:lang w:val="en-US" w:eastAsia="zh-CN" w:bidi="ar-SA"/>
        </w:rPr>
        <w:t>，</w:t>
      </w:r>
      <w:r>
        <w:rPr>
          <w:rFonts w:hint="eastAsia" w:cs="Times New Roman"/>
          <w:b w:val="0"/>
          <w:color w:val="auto"/>
          <w:kern w:val="2"/>
          <w:sz w:val="32"/>
          <w:szCs w:val="32"/>
          <w:highlight w:val="none"/>
          <w:lang w:val="en-US" w:eastAsia="zh-CN" w:bidi="ar-SA"/>
        </w:rPr>
        <w:t>并赴</w:t>
      </w:r>
      <w:r>
        <w:rPr>
          <w:rFonts w:hint="eastAsia" w:cs="Times New Roman"/>
          <w:sz w:val="32"/>
          <w:szCs w:val="32"/>
          <w:lang w:val="en-US" w:eastAsia="zh-CN"/>
        </w:rPr>
        <w:t>上海、杭州和无锡</w:t>
      </w:r>
      <w:r>
        <w:rPr>
          <w:rFonts w:hint="default" w:ascii="Times New Roman" w:hAnsi="Times New Roman" w:eastAsia="仿宋_GB2312" w:cs="Times New Roman"/>
          <w:b w:val="0"/>
          <w:color w:val="auto"/>
          <w:kern w:val="2"/>
          <w:sz w:val="32"/>
          <w:szCs w:val="32"/>
          <w:highlight w:val="none"/>
          <w:lang w:val="en-US" w:eastAsia="zh-CN" w:bidi="ar-SA"/>
        </w:rPr>
        <w:t>等实地调研和专家咨询，6月2</w:t>
      </w:r>
      <w:r>
        <w:rPr>
          <w:rFonts w:hint="eastAsia" w:cs="Times New Roman"/>
          <w:b w:val="0"/>
          <w:color w:val="auto"/>
          <w:kern w:val="2"/>
          <w:sz w:val="32"/>
          <w:szCs w:val="32"/>
          <w:highlight w:val="none"/>
          <w:lang w:val="en-US" w:eastAsia="zh-CN" w:bidi="ar-SA"/>
        </w:rPr>
        <w:t>6</w:t>
      </w:r>
      <w:r>
        <w:rPr>
          <w:rFonts w:hint="default" w:ascii="Times New Roman" w:hAnsi="Times New Roman" w:eastAsia="仿宋_GB2312" w:cs="Times New Roman"/>
          <w:b w:val="0"/>
          <w:color w:val="auto"/>
          <w:kern w:val="2"/>
          <w:sz w:val="32"/>
          <w:szCs w:val="32"/>
          <w:highlight w:val="none"/>
          <w:lang w:val="en-US" w:eastAsia="zh-CN" w:bidi="ar-SA"/>
        </w:rPr>
        <w:t>日，市</w:t>
      </w:r>
      <w:r>
        <w:rPr>
          <w:rFonts w:hint="eastAsia" w:cs="Times New Roman"/>
          <w:b w:val="0"/>
          <w:color w:val="auto"/>
          <w:kern w:val="2"/>
          <w:sz w:val="32"/>
          <w:szCs w:val="32"/>
          <w:highlight w:val="none"/>
          <w:lang w:val="en-US" w:eastAsia="zh-CN" w:bidi="ar-SA"/>
        </w:rPr>
        <w:t>水务局完成</w:t>
      </w:r>
      <w:r>
        <w:rPr>
          <w:rFonts w:hint="default" w:ascii="Times New Roman" w:hAnsi="Times New Roman" w:eastAsia="仿宋_GB2312" w:cs="Times New Roman"/>
          <w:b w:val="0"/>
          <w:color w:val="auto"/>
          <w:kern w:val="2"/>
          <w:sz w:val="32"/>
          <w:szCs w:val="32"/>
          <w:highlight w:val="none"/>
          <w:lang w:val="en-US" w:eastAsia="zh-CN" w:bidi="ar-SA"/>
        </w:rPr>
        <w:t>《办法（修订草案）》</w:t>
      </w:r>
      <w:r>
        <w:rPr>
          <w:rFonts w:hint="eastAsia" w:cs="Times New Roman"/>
          <w:b w:val="0"/>
          <w:color w:val="auto"/>
          <w:kern w:val="2"/>
          <w:sz w:val="32"/>
          <w:szCs w:val="32"/>
          <w:highlight w:val="none"/>
          <w:lang w:val="en-US" w:eastAsia="zh-CN" w:bidi="ar-SA"/>
        </w:rPr>
        <w:t>起草工作，</w:t>
      </w:r>
      <w:r>
        <w:rPr>
          <w:rFonts w:hint="default" w:ascii="Times New Roman" w:hAnsi="Times New Roman" w:eastAsia="仿宋_GB2312" w:cs="Times New Roman"/>
          <w:b w:val="0"/>
          <w:color w:val="auto"/>
          <w:kern w:val="2"/>
          <w:sz w:val="32"/>
          <w:szCs w:val="32"/>
          <w:highlight w:val="none"/>
          <w:lang w:val="en-US" w:eastAsia="zh-CN" w:bidi="ar-SA"/>
        </w:rPr>
        <w:t>报送市人民政府转市司法局立法审查。</w:t>
      </w:r>
    </w:p>
    <w:p w14:paraId="4F5F9230">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cs="Times New Roman"/>
          <w:b w:val="0"/>
          <w:color w:val="auto"/>
          <w:kern w:val="2"/>
          <w:sz w:val="32"/>
          <w:szCs w:val="32"/>
          <w:highlight w:val="none"/>
          <w:lang w:val="en-US" w:eastAsia="zh-CN" w:bidi="ar-SA"/>
        </w:rPr>
        <w:t>现</w:t>
      </w:r>
      <w:r>
        <w:rPr>
          <w:rFonts w:hint="default" w:ascii="Times New Roman" w:hAnsi="Times New Roman" w:eastAsia="仿宋_GB2312" w:cs="Times New Roman"/>
          <w:b w:val="0"/>
          <w:color w:val="auto"/>
          <w:kern w:val="2"/>
          <w:sz w:val="32"/>
          <w:szCs w:val="32"/>
          <w:highlight w:val="none"/>
          <w:lang w:val="en-US" w:eastAsia="zh-CN" w:bidi="ar-SA"/>
        </w:rPr>
        <w:t>市司法局</w:t>
      </w:r>
      <w:r>
        <w:rPr>
          <w:rFonts w:hint="eastAsia" w:cs="Times New Roman"/>
          <w:b w:val="0"/>
          <w:color w:val="auto"/>
          <w:kern w:val="2"/>
          <w:sz w:val="32"/>
          <w:szCs w:val="32"/>
          <w:highlight w:val="none"/>
          <w:lang w:val="en-US" w:eastAsia="zh-CN" w:bidi="ar-SA"/>
        </w:rPr>
        <w:t>按要求</w:t>
      </w:r>
      <w:r>
        <w:rPr>
          <w:rFonts w:hint="default" w:ascii="Times New Roman" w:hAnsi="Times New Roman" w:eastAsia="仿宋_GB2312" w:cs="Times New Roman"/>
          <w:b w:val="0"/>
          <w:color w:val="auto"/>
          <w:kern w:val="2"/>
          <w:sz w:val="32"/>
          <w:szCs w:val="32"/>
          <w:highlight w:val="none"/>
          <w:lang w:val="en-US" w:eastAsia="zh-CN" w:bidi="ar-SA"/>
        </w:rPr>
        <w:t>公开征求</w:t>
      </w:r>
      <w:r>
        <w:rPr>
          <w:rFonts w:hint="eastAsia" w:cs="Times New Roman"/>
          <w:b w:val="0"/>
          <w:color w:val="auto"/>
          <w:kern w:val="2"/>
          <w:sz w:val="32"/>
          <w:szCs w:val="32"/>
          <w:highlight w:val="none"/>
          <w:lang w:val="en-US" w:eastAsia="zh-CN" w:bidi="ar-SA"/>
        </w:rPr>
        <w:t>社会公众</w:t>
      </w:r>
      <w:r>
        <w:rPr>
          <w:rFonts w:hint="default" w:ascii="Times New Roman" w:hAnsi="Times New Roman" w:eastAsia="仿宋_GB2312" w:cs="Times New Roman"/>
          <w:b w:val="0"/>
          <w:color w:val="auto"/>
          <w:kern w:val="2"/>
          <w:sz w:val="32"/>
          <w:szCs w:val="32"/>
          <w:highlight w:val="none"/>
          <w:lang w:val="en-US" w:eastAsia="zh-CN" w:bidi="ar-SA"/>
        </w:rPr>
        <w:t>意见，并向各区政府（管委会）、市政府相关工作部门和行政立法基层联系点书面征求意见</w:t>
      </w:r>
      <w:r>
        <w:rPr>
          <w:rFonts w:hint="eastAsia" w:cs="Times New Roman"/>
          <w:b w:val="0"/>
          <w:color w:val="auto"/>
          <w:kern w:val="2"/>
          <w:sz w:val="32"/>
          <w:szCs w:val="32"/>
          <w:highlight w:val="none"/>
          <w:lang w:val="en-US" w:eastAsia="zh-CN" w:bidi="ar-SA"/>
        </w:rPr>
        <w:t>。</w:t>
      </w:r>
    </w:p>
    <w:p w14:paraId="58250E80">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w:t>
      </w:r>
      <w:r>
        <w:rPr>
          <w:rFonts w:hint="eastAsia" w:ascii="黑体" w:hAnsi="黑体" w:eastAsia="黑体" w:cs="黑体"/>
          <w:b w:val="0"/>
          <w:bCs w:val="0"/>
          <w:sz w:val="32"/>
          <w:szCs w:val="32"/>
          <w:lang w:val="en-US" w:eastAsia="zh-CN"/>
        </w:rPr>
        <w:t>修订</w:t>
      </w:r>
      <w:r>
        <w:rPr>
          <w:rFonts w:hint="eastAsia" w:ascii="黑体" w:hAnsi="黑体" w:eastAsia="黑体" w:cs="黑体"/>
          <w:b w:val="0"/>
          <w:bCs w:val="0"/>
          <w:sz w:val="32"/>
          <w:szCs w:val="32"/>
        </w:rPr>
        <w:t>的主要内容</w:t>
      </w:r>
    </w:p>
    <w:p w14:paraId="70CDA3B1">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本次对《办法》</w:t>
      </w:r>
      <w:r>
        <w:rPr>
          <w:rFonts w:hint="eastAsia" w:ascii="仿宋_GB2312" w:hAnsi="仿宋_GB2312" w:cs="仿宋_GB2312"/>
          <w:b w:val="0"/>
          <w:bCs w:val="0"/>
          <w:sz w:val="32"/>
          <w:szCs w:val="32"/>
          <w:lang w:val="en-US" w:eastAsia="zh-CN"/>
        </w:rPr>
        <w:t>进行全面修订，</w:t>
      </w:r>
      <w:r>
        <w:rPr>
          <w:rFonts w:hint="eastAsia" w:ascii="仿宋_GB2312" w:hAnsi="仿宋_GB2312" w:eastAsia="仿宋_GB2312" w:cs="仿宋_GB2312"/>
          <w:b w:val="0"/>
          <w:bCs w:val="0"/>
          <w:sz w:val="32"/>
          <w:szCs w:val="32"/>
        </w:rPr>
        <w:t>新设“</w:t>
      </w:r>
      <w:r>
        <w:rPr>
          <w:rFonts w:hint="eastAsia" w:ascii="仿宋_GB2312" w:hAnsi="仿宋_GB2312" w:cs="仿宋_GB2312"/>
          <w:b w:val="0"/>
          <w:bCs w:val="0"/>
          <w:sz w:val="32"/>
          <w:szCs w:val="32"/>
          <w:lang w:val="en-US" w:eastAsia="zh-CN"/>
        </w:rPr>
        <w:t>江滩</w:t>
      </w:r>
      <w:r>
        <w:rPr>
          <w:rFonts w:hint="eastAsia" w:ascii="仿宋_GB2312" w:hAnsi="仿宋_GB2312" w:eastAsia="仿宋_GB2312" w:cs="仿宋_GB2312"/>
          <w:b w:val="0"/>
          <w:bCs w:val="0"/>
          <w:sz w:val="32"/>
          <w:szCs w:val="32"/>
        </w:rPr>
        <w:t>共治共享”“</w:t>
      </w:r>
      <w:r>
        <w:rPr>
          <w:rFonts w:hint="eastAsia" w:ascii="仿宋_GB2312" w:hAnsi="仿宋_GB2312" w:cs="仿宋_GB2312"/>
          <w:b w:val="0"/>
          <w:bCs w:val="0"/>
          <w:sz w:val="32"/>
          <w:szCs w:val="32"/>
          <w:lang w:val="en-US" w:eastAsia="zh-CN"/>
        </w:rPr>
        <w:t>江滩</w:t>
      </w:r>
      <w:r>
        <w:rPr>
          <w:rFonts w:hint="eastAsia" w:ascii="仿宋_GB2312" w:hAnsi="仿宋_GB2312" w:eastAsia="仿宋_GB2312" w:cs="仿宋_GB2312"/>
          <w:b w:val="0"/>
          <w:bCs w:val="0"/>
          <w:sz w:val="32"/>
          <w:szCs w:val="32"/>
        </w:rPr>
        <w:t>保护利用”</w:t>
      </w:r>
      <w:r>
        <w:rPr>
          <w:rFonts w:hint="eastAsia" w:ascii="仿宋_GB2312" w:hAnsi="仿宋_GB2312" w:cs="仿宋_GB2312"/>
          <w:b w:val="0"/>
          <w:bCs w:val="0"/>
          <w:sz w:val="32"/>
          <w:szCs w:val="32"/>
          <w:lang w:val="en-US" w:eastAsia="zh-CN"/>
        </w:rPr>
        <w:t>等</w:t>
      </w:r>
      <w:r>
        <w:rPr>
          <w:rFonts w:hint="eastAsia" w:ascii="仿宋_GB2312" w:hAnsi="仿宋_GB2312" w:eastAsia="仿宋_GB2312" w:cs="仿宋_GB2312"/>
          <w:b w:val="0"/>
          <w:bCs w:val="0"/>
          <w:sz w:val="32"/>
          <w:szCs w:val="32"/>
        </w:rPr>
        <w:t>专章。修订后《办法》共</w:t>
      </w:r>
      <w:r>
        <w:rPr>
          <w:rFonts w:hint="eastAsia" w:ascii="仿宋_GB2312" w:hAnsi="仿宋_GB2312" w:cs="仿宋_GB2312"/>
          <w:b w:val="0"/>
          <w:bCs w:val="0"/>
          <w:sz w:val="32"/>
          <w:szCs w:val="32"/>
          <w:lang w:val="en-US" w:eastAsia="zh-CN"/>
        </w:rPr>
        <w:t>七</w:t>
      </w:r>
      <w:r>
        <w:rPr>
          <w:rFonts w:hint="eastAsia" w:ascii="仿宋_GB2312" w:hAnsi="仿宋_GB2312" w:eastAsia="仿宋_GB2312" w:cs="仿宋_GB2312"/>
          <w:b w:val="0"/>
          <w:bCs w:val="0"/>
          <w:sz w:val="32"/>
          <w:szCs w:val="32"/>
        </w:rPr>
        <w:t>章</w:t>
      </w:r>
      <w:r>
        <w:rPr>
          <w:rFonts w:hint="eastAsia" w:ascii="仿宋_GB2312" w:hAnsi="仿宋_GB2312" w:cs="仿宋_GB2312"/>
          <w:b w:val="0"/>
          <w:bCs w:val="0"/>
          <w:sz w:val="32"/>
          <w:szCs w:val="32"/>
          <w:lang w:val="en-US" w:eastAsia="zh-CN"/>
        </w:rPr>
        <w:t>三十七</w:t>
      </w:r>
      <w:bookmarkStart w:id="0" w:name="_GoBack"/>
      <w:bookmarkEnd w:id="0"/>
      <w:r>
        <w:rPr>
          <w:rFonts w:hint="eastAsia" w:ascii="仿宋_GB2312" w:hAnsi="仿宋_GB2312" w:eastAsia="仿宋_GB2312" w:cs="仿宋_GB2312"/>
          <w:b w:val="0"/>
          <w:bCs w:val="0"/>
          <w:sz w:val="32"/>
          <w:szCs w:val="32"/>
        </w:rPr>
        <w:t>条。</w:t>
      </w:r>
      <w:r>
        <w:rPr>
          <w:rFonts w:hint="eastAsia" w:ascii="仿宋_GB2312" w:hAnsi="仿宋_GB2312" w:cs="仿宋_GB2312"/>
          <w:b w:val="0"/>
          <w:bCs w:val="0"/>
          <w:sz w:val="32"/>
          <w:szCs w:val="32"/>
          <w:lang w:val="en-US" w:eastAsia="zh-CN"/>
        </w:rPr>
        <w:t>主要内容</w:t>
      </w:r>
      <w:r>
        <w:rPr>
          <w:rFonts w:hint="eastAsia" w:ascii="仿宋_GB2312" w:hAnsi="仿宋_GB2312" w:eastAsia="仿宋_GB2312" w:cs="仿宋_GB2312"/>
          <w:b w:val="0"/>
          <w:bCs w:val="0"/>
          <w:sz w:val="32"/>
          <w:szCs w:val="32"/>
        </w:rPr>
        <w:t>如下：</w:t>
      </w:r>
    </w:p>
    <w:p w14:paraId="4C8A5B01">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（一）完善总则，明确立法定位与管理体系</w:t>
      </w:r>
    </w:p>
    <w:p w14:paraId="3737F30E">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优化立法目的，明确江滩</w:t>
      </w:r>
      <w:r>
        <w:rPr>
          <w:rFonts w:hint="eastAsia" w:ascii="仿宋_GB2312" w:hAnsi="仿宋_GB2312" w:eastAsia="仿宋_GB2312" w:cs="仿宋_GB2312"/>
          <w:b w:val="0"/>
          <w:bCs w:val="0"/>
          <w:sz w:val="32"/>
          <w:szCs w:val="32"/>
          <w:lang w:eastAsia="zh-CN"/>
        </w:rPr>
        <w:t>的法定</w:t>
      </w:r>
      <w:r>
        <w:rPr>
          <w:rFonts w:hint="eastAsia" w:ascii="仿宋_GB2312" w:hAnsi="仿宋_GB2312" w:eastAsia="仿宋_GB2312" w:cs="仿宋_GB2312"/>
          <w:b w:val="0"/>
          <w:bCs w:val="0"/>
          <w:sz w:val="32"/>
          <w:szCs w:val="32"/>
        </w:rPr>
        <w:t>定义</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厘清多元主体管理责任</w:t>
      </w:r>
      <w:r>
        <w:rPr>
          <w:rFonts w:hint="eastAsia" w:ascii="仿宋_GB2312" w:hAnsi="仿宋_GB2312" w:eastAsia="仿宋_GB2312" w:cs="仿宋_GB2312"/>
          <w:b w:val="0"/>
          <w:bCs w:val="0"/>
          <w:spacing w:val="0"/>
          <w:sz w:val="32"/>
          <w:szCs w:val="32"/>
        </w:rPr>
        <w:t>；</w:t>
      </w:r>
      <w:r>
        <w:rPr>
          <w:rFonts w:hint="eastAsia" w:ascii="仿宋_GB2312" w:hAnsi="仿宋_GB2312" w:eastAsia="仿宋_GB2312" w:cs="仿宋_GB2312"/>
          <w:b w:val="0"/>
          <w:bCs w:val="0"/>
          <w:spacing w:val="10"/>
          <w:sz w:val="32"/>
          <w:szCs w:val="32"/>
        </w:rPr>
        <w:t>落实财政经</w:t>
      </w:r>
      <w:r>
        <w:rPr>
          <w:rFonts w:hint="eastAsia" w:ascii="仿宋_GB2312" w:hAnsi="仿宋_GB2312" w:eastAsia="仿宋_GB2312" w:cs="仿宋_GB2312"/>
          <w:b w:val="0"/>
          <w:bCs w:val="0"/>
          <w:sz w:val="32"/>
          <w:szCs w:val="32"/>
        </w:rPr>
        <w:t>费保障</w:t>
      </w:r>
      <w:r>
        <w:rPr>
          <w:rFonts w:hint="eastAsia" w:ascii="仿宋_GB2312" w:hAnsi="仿宋_GB2312" w:eastAsia="仿宋_GB2312" w:cs="仿宋_GB2312"/>
          <w:b w:val="0"/>
          <w:bCs w:val="0"/>
          <w:sz w:val="32"/>
          <w:szCs w:val="32"/>
          <w:lang w:val="en-US" w:eastAsia="zh-CN"/>
        </w:rPr>
        <w:t>机制；</w:t>
      </w:r>
      <w:r>
        <w:rPr>
          <w:rFonts w:hint="eastAsia" w:ascii="仿宋_GB2312" w:hAnsi="仿宋_GB2312" w:eastAsia="仿宋_GB2312" w:cs="仿宋_GB2312"/>
          <w:b w:val="0"/>
          <w:bCs w:val="0"/>
          <w:spacing w:val="0"/>
          <w:sz w:val="32"/>
          <w:szCs w:val="32"/>
        </w:rPr>
        <w:t>新增智慧江滩建设和社会共治共享</w:t>
      </w:r>
      <w:r>
        <w:rPr>
          <w:rFonts w:hint="eastAsia" w:ascii="仿宋_GB2312" w:hAnsi="仿宋_GB2312" w:eastAsia="仿宋_GB2312" w:cs="仿宋_GB2312"/>
          <w:b w:val="0"/>
          <w:bCs w:val="0"/>
          <w:spacing w:val="0"/>
          <w:sz w:val="32"/>
          <w:szCs w:val="32"/>
          <w:lang w:val="en-US" w:eastAsia="zh-CN"/>
        </w:rPr>
        <w:t>倡导性</w:t>
      </w:r>
      <w:r>
        <w:rPr>
          <w:rFonts w:hint="eastAsia" w:ascii="仿宋_GB2312" w:hAnsi="仿宋_GB2312" w:eastAsia="仿宋_GB2312" w:cs="仿宋_GB2312"/>
          <w:b w:val="0"/>
          <w:bCs w:val="0"/>
          <w:spacing w:val="0"/>
          <w:sz w:val="32"/>
          <w:szCs w:val="32"/>
        </w:rPr>
        <w:t>条款</w:t>
      </w:r>
      <w:r>
        <w:rPr>
          <w:rFonts w:hint="eastAsia" w:ascii="仿宋_GB2312" w:hAnsi="仿宋_GB2312" w:eastAsia="仿宋_GB2312" w:cs="仿宋_GB2312"/>
          <w:b w:val="0"/>
          <w:bCs w:val="0"/>
          <w:sz w:val="32"/>
          <w:szCs w:val="32"/>
        </w:rPr>
        <w:t>。</w:t>
      </w:r>
    </w:p>
    <w:p w14:paraId="7DCDA114">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（二）强化江滩防洪管理，守牢安全底线</w:t>
      </w:r>
    </w:p>
    <w:p w14:paraId="34FAF3BD">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579" w:lineRule="exact"/>
        <w:ind w:left="0" w:leftChars="0" w:firstLine="64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在原条款中新增“</w:t>
      </w:r>
      <w:r>
        <w:rPr>
          <w:rFonts w:hint="eastAsia" w:ascii="仿宋_GB2312" w:hAnsi="仿宋_GB2312" w:eastAsia="仿宋_GB2312" w:cs="仿宋_GB2312"/>
          <w:b w:val="0"/>
          <w:bCs w:val="0"/>
          <w:sz w:val="32"/>
          <w:szCs w:val="32"/>
        </w:rPr>
        <w:t>江滩管理机构加强现场管理</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强化江滩管理机构维护江滩防洪安全职责；新增区防汛指挥机构组织街道、单位参与江滩防汛值守</w:t>
      </w:r>
      <w:r>
        <w:rPr>
          <w:rFonts w:hint="eastAsia" w:ascii="仿宋_GB2312" w:hAnsi="仿宋_GB2312" w:eastAsia="仿宋_GB2312" w:cs="仿宋_GB2312"/>
          <w:b w:val="0"/>
          <w:bCs w:val="0"/>
          <w:sz w:val="32"/>
          <w:szCs w:val="32"/>
          <w:lang w:eastAsia="zh-CN"/>
        </w:rPr>
        <w:t>。</w:t>
      </w:r>
    </w:p>
    <w:p w14:paraId="3340CF8B">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仿宋" w:hAnsi="仿宋" w:eastAsia="仿宋" w:cs="仿宋"/>
          <w:b w:val="0"/>
          <w:bCs w:val="0"/>
          <w:sz w:val="32"/>
          <w:szCs w:val="32"/>
          <w:lang w:val="en-US" w:eastAsia="zh-CN"/>
        </w:rPr>
      </w:pPr>
      <w:r>
        <w:rPr>
          <w:rFonts w:hint="eastAsia" w:ascii="楷体" w:hAnsi="楷体" w:eastAsia="楷体" w:cs="楷体"/>
          <w:b w:val="0"/>
          <w:bCs w:val="0"/>
          <w:sz w:val="32"/>
          <w:szCs w:val="32"/>
        </w:rPr>
        <w:t>（三）</w:t>
      </w:r>
      <w:r>
        <w:rPr>
          <w:rFonts w:hint="eastAsia" w:ascii="楷体" w:hAnsi="楷体" w:eastAsia="楷体" w:cs="楷体"/>
          <w:b w:val="0"/>
          <w:bCs w:val="0"/>
          <w:sz w:val="32"/>
          <w:szCs w:val="32"/>
          <w:lang w:val="en-US" w:eastAsia="zh-CN"/>
        </w:rPr>
        <w:t>完善</w:t>
      </w:r>
      <w:r>
        <w:rPr>
          <w:rFonts w:hint="eastAsia" w:ascii="楷体" w:hAnsi="楷体" w:eastAsia="楷体" w:cs="楷体"/>
          <w:b w:val="0"/>
          <w:bCs w:val="0"/>
          <w:sz w:val="32"/>
          <w:szCs w:val="32"/>
        </w:rPr>
        <w:t>设施保障</w:t>
      </w:r>
      <w:r>
        <w:rPr>
          <w:rFonts w:hint="eastAsia" w:ascii="楷体" w:hAnsi="楷体" w:eastAsia="楷体" w:cs="楷体"/>
          <w:b w:val="0"/>
          <w:bCs w:val="0"/>
          <w:sz w:val="32"/>
          <w:szCs w:val="32"/>
          <w:lang w:val="en-US" w:eastAsia="zh-CN"/>
        </w:rPr>
        <w:t>体系</w:t>
      </w:r>
      <w:r>
        <w:rPr>
          <w:rFonts w:hint="eastAsia" w:ascii="楷体" w:hAnsi="楷体" w:eastAsia="楷体" w:cs="楷体"/>
          <w:b w:val="0"/>
          <w:bCs w:val="0"/>
          <w:sz w:val="32"/>
          <w:szCs w:val="32"/>
        </w:rPr>
        <w:t>，提升公共服务品质</w:t>
      </w:r>
    </w:p>
    <w:p w14:paraId="6B0566ED">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579" w:lineRule="exact"/>
        <w:ind w:left="0" w:leftChars="0" w:firstLine="64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整合现行《办法》分散的设施类条款，补充完善设施配置标准、集约化</w:t>
      </w:r>
      <w:r>
        <w:rPr>
          <w:rFonts w:hint="eastAsia" w:ascii="仿宋_GB2312" w:hAnsi="仿宋_GB2312" w:eastAsia="仿宋_GB2312" w:cs="仿宋_GB2312"/>
          <w:b w:val="0"/>
          <w:bCs w:val="0"/>
          <w:sz w:val="32"/>
          <w:szCs w:val="32"/>
          <w:lang w:val="en-US" w:eastAsia="zh-CN"/>
        </w:rPr>
        <w:t>利用</w:t>
      </w:r>
      <w:r>
        <w:rPr>
          <w:rFonts w:hint="eastAsia" w:ascii="仿宋_GB2312" w:hAnsi="仿宋_GB2312" w:eastAsia="仿宋_GB2312" w:cs="仿宋_GB2312"/>
          <w:b w:val="0"/>
          <w:bCs w:val="0"/>
          <w:sz w:val="32"/>
          <w:szCs w:val="32"/>
          <w:lang w:eastAsia="zh-CN"/>
        </w:rPr>
        <w:t>与专业化运维等新增制度，构建“建管衔接—分类配置—分级运维”全链条设施保障体系。</w:t>
      </w:r>
    </w:p>
    <w:p w14:paraId="12A97535">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（四）创新共治共享机制，践行人民城市理念</w:t>
      </w:r>
    </w:p>
    <w:p w14:paraId="20A6140B">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579" w:lineRule="exact"/>
        <w:ind w:left="0" w:leftChars="0" w:firstLine="640"/>
        <w:jc w:val="both"/>
        <w:textAlignment w:val="auto"/>
        <w:rPr>
          <w:rFonts w:hint="eastAsia" w:ascii="仿宋_GB2312" w:hAnsi="仿宋_GB2312" w:eastAsia="仿宋_GB2312" w:cs="仿宋_GB2312"/>
          <w:b w:val="0"/>
          <w:bCs w:val="0"/>
          <w:color w:val="000000"/>
          <w:spacing w:val="0"/>
          <w:sz w:val="32"/>
          <w:szCs w:val="32"/>
          <w:lang w:eastAsia="zh-CN"/>
        </w:rPr>
      </w:pPr>
      <w:r>
        <w:rPr>
          <w:rFonts w:hint="eastAsia" w:ascii="仿宋_GB2312" w:hAnsi="仿宋_GB2312" w:eastAsia="仿宋_GB2312" w:cs="仿宋_GB2312"/>
          <w:b w:val="0"/>
          <w:bCs w:val="0"/>
          <w:sz w:val="32"/>
          <w:szCs w:val="32"/>
          <w:lang w:val="en-US" w:eastAsia="zh-CN"/>
        </w:rPr>
        <w:t>整合现行《办法》秩序管理、安全管理类条款，按照“广泛倡导鼓励—减少规范限制—慎列明令禁止”的逻辑分层规范江滩内的公共活动，健全社会参与机制，深入践行“人民城市人民建、人民城市为人民”重要理念。</w:t>
      </w:r>
    </w:p>
    <w:p w14:paraId="1DE0DDA8">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（五）新增江滩保护利用，推动绿色高质量发展</w:t>
      </w:r>
    </w:p>
    <w:p w14:paraId="4714EF20">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579" w:lineRule="exact"/>
        <w:ind w:left="0" w:leftChars="0" w:firstLine="64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倡导发展绿色水经济</w:t>
      </w:r>
      <w:r>
        <w:rPr>
          <w:rFonts w:hint="eastAsia" w:ascii="仿宋_GB2312" w:hAnsi="仿宋_GB2312" w:eastAsia="仿宋_GB2312" w:cs="仿宋_GB2312"/>
          <w:b w:val="0"/>
          <w:bCs w:val="0"/>
          <w:sz w:val="32"/>
          <w:szCs w:val="32"/>
          <w:lang w:eastAsia="zh-CN"/>
        </w:rPr>
        <w:t>；规范</w:t>
      </w:r>
      <w:r>
        <w:rPr>
          <w:rFonts w:hint="eastAsia" w:ascii="仿宋_GB2312" w:hAnsi="仿宋_GB2312" w:eastAsia="仿宋_GB2312" w:cs="仿宋_GB2312"/>
          <w:b w:val="0"/>
          <w:bCs w:val="0"/>
          <w:sz w:val="32"/>
          <w:szCs w:val="32"/>
          <w:lang w:val="en-US" w:eastAsia="zh-CN"/>
        </w:rPr>
        <w:t>经营</w:t>
      </w:r>
      <w:r>
        <w:rPr>
          <w:rFonts w:hint="eastAsia" w:ascii="仿宋_GB2312" w:hAnsi="仿宋_GB2312" w:eastAsia="仿宋_GB2312" w:cs="仿宋_GB2312"/>
          <w:b w:val="0"/>
          <w:bCs w:val="0"/>
          <w:sz w:val="32"/>
          <w:szCs w:val="32"/>
          <w:lang w:eastAsia="zh-CN"/>
        </w:rPr>
        <w:t>与活动</w:t>
      </w:r>
      <w:r>
        <w:rPr>
          <w:rFonts w:hint="eastAsia" w:ascii="仿宋_GB2312" w:hAnsi="仿宋_GB2312" w:eastAsia="仿宋_GB2312" w:cs="仿宋_GB2312"/>
          <w:b w:val="0"/>
          <w:bCs w:val="0"/>
          <w:sz w:val="32"/>
          <w:szCs w:val="32"/>
          <w:lang w:val="en-US" w:eastAsia="zh-CN"/>
        </w:rPr>
        <w:t>管理，</w:t>
      </w:r>
      <w:r>
        <w:rPr>
          <w:rFonts w:hint="eastAsia" w:ascii="仿宋_GB2312" w:hAnsi="仿宋_GB2312" w:eastAsia="仿宋_GB2312" w:cs="仿宋_GB2312"/>
          <w:b w:val="0"/>
          <w:bCs w:val="0"/>
          <w:sz w:val="32"/>
          <w:szCs w:val="32"/>
        </w:rPr>
        <w:t>构建“规划引领</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准入</w:t>
      </w:r>
      <w:r>
        <w:rPr>
          <w:rFonts w:hint="eastAsia" w:ascii="仿宋_GB2312" w:hAnsi="仿宋_GB2312" w:eastAsia="仿宋_GB2312" w:cs="仿宋_GB2312"/>
          <w:b w:val="0"/>
          <w:bCs w:val="0"/>
          <w:sz w:val="32"/>
          <w:szCs w:val="32"/>
          <w:lang w:eastAsia="zh-CN"/>
        </w:rPr>
        <w:t>约束—底线保障</w:t>
      </w:r>
      <w:r>
        <w:rPr>
          <w:rFonts w:hint="eastAsia" w:ascii="仿宋_GB2312" w:hAnsi="仿宋_GB2312" w:eastAsia="仿宋_GB2312" w:cs="仿宋_GB2312"/>
          <w:b w:val="0"/>
          <w:bCs w:val="0"/>
          <w:sz w:val="32"/>
          <w:szCs w:val="32"/>
        </w:rPr>
        <w:t>”的管理体系</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新增倡导性条款，突出水</w:t>
      </w:r>
      <w:r>
        <w:rPr>
          <w:rFonts w:hint="eastAsia" w:ascii="仿宋_GB2312" w:hAnsi="仿宋_GB2312" w:eastAsia="仿宋_GB2312" w:cs="仿宋_GB2312"/>
          <w:b w:val="0"/>
          <w:bCs w:val="0"/>
          <w:sz w:val="32"/>
          <w:szCs w:val="32"/>
        </w:rPr>
        <w:t>文化建设</w:t>
      </w:r>
      <w:r>
        <w:rPr>
          <w:rFonts w:hint="eastAsia" w:ascii="仿宋_GB2312" w:hAnsi="仿宋_GB2312" w:eastAsia="仿宋_GB2312" w:cs="仿宋_GB2312"/>
          <w:b w:val="0"/>
          <w:bCs w:val="0"/>
          <w:sz w:val="32"/>
          <w:szCs w:val="32"/>
          <w:lang w:val="en-US" w:eastAsia="zh-CN"/>
        </w:rPr>
        <w:t>与</w:t>
      </w:r>
      <w:r>
        <w:rPr>
          <w:rFonts w:hint="eastAsia" w:ascii="仿宋_GB2312" w:hAnsi="仿宋_GB2312" w:eastAsia="仿宋_GB2312" w:cs="仿宋_GB2312"/>
          <w:b w:val="0"/>
          <w:bCs w:val="0"/>
          <w:sz w:val="32"/>
          <w:szCs w:val="32"/>
        </w:rPr>
        <w:t>传承。</w:t>
      </w:r>
    </w:p>
    <w:p w14:paraId="535BB682">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（六）完善法律责任，增强制度刚性</w:t>
      </w:r>
    </w:p>
    <w:p w14:paraId="1737E0B7">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pPr>
      <w:r>
        <w:rPr>
          <w:rFonts w:hint="eastAsia" w:ascii="仿宋_GB2312" w:hAnsi="仿宋_GB2312" w:eastAsia="仿宋_GB2312" w:cs="仿宋_GB2312"/>
          <w:b w:val="0"/>
          <w:bCs w:val="0"/>
          <w:sz w:val="32"/>
          <w:szCs w:val="32"/>
          <w:lang w:eastAsia="zh-CN"/>
        </w:rPr>
        <w:t>做好法条衔接；</w:t>
      </w:r>
      <w:r>
        <w:rPr>
          <w:rFonts w:hint="eastAsia" w:ascii="仿宋_GB2312" w:hAnsi="仿宋_GB2312" w:eastAsia="仿宋_GB2312" w:cs="仿宋_GB2312"/>
          <w:b w:val="0"/>
          <w:bCs w:val="0"/>
          <w:sz w:val="32"/>
          <w:szCs w:val="32"/>
        </w:rPr>
        <w:t>针对</w:t>
      </w:r>
      <w:r>
        <w:rPr>
          <w:rFonts w:hint="eastAsia" w:ascii="仿宋_GB2312" w:hAnsi="仿宋_GB2312" w:eastAsia="仿宋_GB2312" w:cs="仿宋_GB2312"/>
          <w:b w:val="0"/>
          <w:bCs w:val="0"/>
          <w:sz w:val="32"/>
          <w:szCs w:val="32"/>
          <w:lang w:val="en-US" w:eastAsia="zh-CN"/>
        </w:rPr>
        <w:t>限制性行为和禁止性行为设定执法事项，明确执法部门；坚持过罚相当、教育优先原则。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公文小标宋简">
    <w:altName w:val="宋体"/>
    <w:panose1 w:val="02010609010101010101"/>
    <w:charset w:val="00"/>
    <w:family w:val="modern"/>
    <w:pitch w:val="default"/>
    <w:sig w:usb0="00000000" w:usb1="00000000" w:usb2="00000010" w:usb3="00000000" w:csb0="00040000" w:csb1="00000000"/>
  </w:font>
  <w:font w:name="方正小标宋简体">
    <w:panose1 w:val="03000509000000000000"/>
    <w:charset w:val="86"/>
    <w:family w:val="swiss"/>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335DB1"/>
    <w:rsid w:val="1F791CF3"/>
    <w:rsid w:val="56335DB1"/>
    <w:rsid w:val="60540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3">
    <w:name w:val="heading 2"/>
    <w:basedOn w:val="1"/>
    <w:next w:val="1"/>
    <w:unhideWhenUsed/>
    <w:qFormat/>
    <w:uiPriority w:val="0"/>
    <w:pPr>
      <w:keepNext/>
      <w:keepLines/>
      <w:spacing w:before="260" w:after="260" w:line="416" w:lineRule="auto"/>
      <w:outlineLvl w:val="1"/>
    </w:pPr>
    <w:rPr>
      <w:rFonts w:ascii="Arial" w:hAnsi="Arial" w:eastAsia="黑体"/>
      <w:b/>
    </w:rPr>
  </w:style>
  <w:style w:type="paragraph" w:styleId="2">
    <w:name w:val="heading 3"/>
    <w:basedOn w:val="1"/>
    <w:next w:val="1"/>
    <w:semiHidden/>
    <w:qFormat/>
    <w:uiPriority w:val="0"/>
    <w:pPr>
      <w:keepNext/>
      <w:keepLines/>
      <w:spacing w:before="1000" w:after="400"/>
      <w:jc w:val="center"/>
      <w:outlineLvl w:val="2"/>
    </w:pPr>
    <w:rPr>
      <w:rFonts w:ascii="公文小标宋简" w:eastAsia="公文小标宋简"/>
      <w:sz w:val="44"/>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Indent"/>
    <w:basedOn w:val="1"/>
    <w:next w:val="5"/>
    <w:qFormat/>
    <w:uiPriority w:val="0"/>
    <w:pPr>
      <w:spacing w:line="600" w:lineRule="exact"/>
      <w:ind w:firstLine="630"/>
    </w:pPr>
    <w:rPr>
      <w:rFonts w:eastAsia="黑体"/>
      <w:szCs w:val="24"/>
    </w:rPr>
  </w:style>
  <w:style w:type="paragraph" w:styleId="5">
    <w:name w:val="Body Text First Indent 2"/>
    <w:basedOn w:val="4"/>
    <w:next w:val="6"/>
    <w:qFormat/>
    <w:uiPriority w:val="0"/>
    <w:pPr>
      <w:spacing w:after="120" w:line="240" w:lineRule="auto"/>
      <w:ind w:left="420" w:leftChars="200" w:firstLine="420" w:firstLineChars="200"/>
    </w:pPr>
    <w:rPr>
      <w:rFonts w:eastAsia="宋体"/>
      <w:sz w:val="21"/>
      <w:szCs w:val="20"/>
    </w:rPr>
  </w:style>
  <w:style w:type="paragraph" w:styleId="6">
    <w:name w:val="Date"/>
    <w:basedOn w:val="1"/>
    <w:next w:val="1"/>
    <w:qFormat/>
    <w:uiPriority w:val="0"/>
  </w:style>
  <w:style w:type="paragraph" w:styleId="7">
    <w:name w:val="Normal (Web)"/>
    <w:basedOn w:val="1"/>
    <w:qFormat/>
    <w:uiPriority w:val="99"/>
    <w:pPr>
      <w:spacing w:beforeAutospacing="1" w:afterAutospacing="1"/>
      <w:jc w:val="left"/>
    </w:pPr>
    <w:rPr>
      <w:kern w:val="0"/>
      <w:sz w:val="24"/>
    </w:rPr>
  </w:style>
  <w:style w:type="character" w:styleId="10">
    <w:name w:val="Strong"/>
    <w:basedOn w:val="9"/>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1455</Words>
  <Characters>1462</Characters>
  <Lines>0</Lines>
  <Paragraphs>0</Paragraphs>
  <TotalTime>4</TotalTime>
  <ScaleCrop>false</ScaleCrop>
  <LinksUpToDate>false</LinksUpToDate>
  <CharactersWithSpaces>1462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2026-07-14T03:13:00Z</dcterms:created>
  <dc:creator>WPS_1716209908</dc:creator>
  <cp:lastModifiedBy>WPS_1716209908</cp:lastModifiedBy>
  <dcterms:modified xsi:type="dcterms:W3CDTF">2026-07-17T02:56:36Z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B16C046A0BAA4CBB83D6628805570B35_11</vt:lpwstr>
  </property>
  <property fmtid="{D5CDD505-2E9C-101B-9397-08002B2CF9AE}" pid="4" name="KSOTemplateDocerSaveRecord">
    <vt:lpwstr>eyJoZGlkIjoiOGQxMmE4YzNjZDExZDlmYTk5MDM5NDc0NWY4N2U1MjkiLCJ1c2VySWQiOiIxNjAxMTc0NDY1In0=</vt:lpwstr>
  </property>
</Properties>
</file>